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CE2AC" w14:textId="18F0A712" w:rsidR="00A300DF" w:rsidRPr="00FC35AF" w:rsidRDefault="009A401E" w:rsidP="00FC35AF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C35AF">
        <w:rPr>
          <w:rFonts w:ascii="Times New Roman" w:hAnsi="Times New Roman" w:cs="Times New Roman"/>
        </w:rPr>
        <w:t xml:space="preserve">Załącznik </w:t>
      </w:r>
    </w:p>
    <w:p w14:paraId="727BABEF" w14:textId="6487D690" w:rsidR="009A401E" w:rsidRPr="00FC35AF" w:rsidRDefault="009A401E" w:rsidP="00FC35AF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C35AF">
        <w:rPr>
          <w:rFonts w:ascii="Times New Roman" w:hAnsi="Times New Roman" w:cs="Times New Roman"/>
        </w:rPr>
        <w:t xml:space="preserve">do Zarządzenia nr </w:t>
      </w:r>
      <w:r w:rsidR="00AB7550" w:rsidRPr="00FC35AF">
        <w:rPr>
          <w:rFonts w:ascii="Times New Roman" w:hAnsi="Times New Roman" w:cs="Times New Roman"/>
        </w:rPr>
        <w:t>94/24</w:t>
      </w:r>
    </w:p>
    <w:p w14:paraId="4A719910" w14:textId="728BFDBA" w:rsidR="009A401E" w:rsidRPr="00FC35AF" w:rsidRDefault="009A401E" w:rsidP="00FC35AF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C35AF">
        <w:rPr>
          <w:rFonts w:ascii="Times New Roman" w:hAnsi="Times New Roman" w:cs="Times New Roman"/>
        </w:rPr>
        <w:t>Wójta Gminy</w:t>
      </w:r>
      <w:r w:rsidR="00AB7550" w:rsidRPr="00FC35AF">
        <w:rPr>
          <w:rFonts w:ascii="Times New Roman" w:hAnsi="Times New Roman" w:cs="Times New Roman"/>
        </w:rPr>
        <w:t xml:space="preserve"> Bulkowo</w:t>
      </w:r>
    </w:p>
    <w:p w14:paraId="363C5BC0" w14:textId="3102D8B5" w:rsidR="009A401E" w:rsidRPr="00FC35AF" w:rsidRDefault="009A401E" w:rsidP="00FC35AF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C35AF">
        <w:rPr>
          <w:rFonts w:ascii="Times New Roman" w:hAnsi="Times New Roman" w:cs="Times New Roman"/>
        </w:rPr>
        <w:t>z dnia</w:t>
      </w:r>
      <w:r w:rsidR="00AB7550" w:rsidRPr="00FC35AF">
        <w:rPr>
          <w:rFonts w:ascii="Times New Roman" w:hAnsi="Times New Roman" w:cs="Times New Roman"/>
        </w:rPr>
        <w:t xml:space="preserve"> 10 września 2024 r</w:t>
      </w:r>
    </w:p>
    <w:p w14:paraId="31407F16" w14:textId="77777777" w:rsidR="009A401E" w:rsidRPr="00FC35AF" w:rsidRDefault="009A401E" w:rsidP="00FC3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72228" w14:textId="2EDFECAB" w:rsidR="005E47D4" w:rsidRPr="00FC35AF" w:rsidRDefault="00756A13" w:rsidP="00FC35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5AF">
        <w:rPr>
          <w:rFonts w:ascii="Times New Roman" w:hAnsi="Times New Roman" w:cs="Times New Roman"/>
          <w:b/>
          <w:bCs/>
          <w:sz w:val="24"/>
          <w:szCs w:val="24"/>
        </w:rPr>
        <w:t>Założeni</w:t>
      </w:r>
      <w:r w:rsidR="00B97152" w:rsidRPr="00FC35A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C35AF">
        <w:rPr>
          <w:rFonts w:ascii="Times New Roman" w:hAnsi="Times New Roman" w:cs="Times New Roman"/>
          <w:b/>
          <w:bCs/>
          <w:sz w:val="24"/>
          <w:szCs w:val="24"/>
        </w:rPr>
        <w:t xml:space="preserve"> projektu budżetu Gminy</w:t>
      </w:r>
      <w:r w:rsidR="00AB7550" w:rsidRPr="00FC35AF">
        <w:rPr>
          <w:rFonts w:ascii="Times New Roman" w:hAnsi="Times New Roman" w:cs="Times New Roman"/>
          <w:b/>
          <w:bCs/>
          <w:sz w:val="24"/>
          <w:szCs w:val="24"/>
        </w:rPr>
        <w:t xml:space="preserve"> Bulkowo</w:t>
      </w:r>
      <w:r w:rsidRPr="00FC35AF">
        <w:rPr>
          <w:rFonts w:ascii="Times New Roman" w:hAnsi="Times New Roman" w:cs="Times New Roman"/>
          <w:b/>
          <w:bCs/>
          <w:sz w:val="24"/>
          <w:szCs w:val="24"/>
        </w:rPr>
        <w:t xml:space="preserve"> na 2025 rok</w:t>
      </w:r>
    </w:p>
    <w:p w14:paraId="0AF2739D" w14:textId="77777777" w:rsidR="00A300DF" w:rsidRPr="00FC35AF" w:rsidRDefault="00A300DF" w:rsidP="00FC35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0FA08" w14:textId="7F5CA438" w:rsidR="005E47D4" w:rsidRPr="00FC35AF" w:rsidRDefault="005E47D4" w:rsidP="00FC35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Założenia dotyczące planowania dochodów</w:t>
      </w:r>
      <w:r w:rsidR="00640CD9" w:rsidRPr="00FC35AF">
        <w:rPr>
          <w:rFonts w:ascii="Times New Roman" w:hAnsi="Times New Roman" w:cs="Times New Roman"/>
          <w:sz w:val="24"/>
          <w:szCs w:val="24"/>
        </w:rPr>
        <w:t>:</w:t>
      </w:r>
    </w:p>
    <w:p w14:paraId="321CF6C4" w14:textId="6129488D" w:rsidR="00077AB5" w:rsidRPr="00FC35AF" w:rsidRDefault="00F66E3F" w:rsidP="00FC35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dochody własne</w:t>
      </w:r>
      <w:r w:rsidR="00077AB5" w:rsidRPr="00FC35AF">
        <w:rPr>
          <w:rFonts w:ascii="Times New Roman" w:hAnsi="Times New Roman" w:cs="Times New Roman"/>
          <w:sz w:val="24"/>
          <w:szCs w:val="24"/>
        </w:rPr>
        <w:t>:</w:t>
      </w:r>
      <w:r w:rsidR="00640CD9" w:rsidRPr="00FC3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EF245" w14:textId="7CA184D3" w:rsidR="00205CB7" w:rsidRPr="00FC35AF" w:rsidRDefault="00077AB5" w:rsidP="00FC35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p</w:t>
      </w:r>
      <w:r w:rsidR="00DF6BE6" w:rsidRPr="00FC35AF">
        <w:rPr>
          <w:rFonts w:ascii="Times New Roman" w:hAnsi="Times New Roman" w:cs="Times New Roman"/>
          <w:sz w:val="24"/>
          <w:szCs w:val="24"/>
        </w:rPr>
        <w:t>odatki i opłaty lokalne</w:t>
      </w:r>
      <w:r w:rsidR="0027508F" w:rsidRPr="00FC35AF">
        <w:rPr>
          <w:rFonts w:ascii="Times New Roman" w:hAnsi="Times New Roman" w:cs="Times New Roman"/>
          <w:sz w:val="24"/>
          <w:szCs w:val="24"/>
        </w:rPr>
        <w:t xml:space="preserve"> (w tym m.in. podatek do nieruchomości, podatek od środków transportowych</w:t>
      </w:r>
      <w:r w:rsidR="00710FB1" w:rsidRPr="00FC35AF">
        <w:rPr>
          <w:rFonts w:ascii="Times New Roman" w:hAnsi="Times New Roman" w:cs="Times New Roman"/>
          <w:sz w:val="24"/>
          <w:szCs w:val="24"/>
        </w:rPr>
        <w:t>)</w:t>
      </w:r>
      <w:r w:rsidR="00DF6BE6" w:rsidRPr="00FC35AF">
        <w:rPr>
          <w:rFonts w:ascii="Times New Roman" w:hAnsi="Times New Roman" w:cs="Times New Roman"/>
          <w:sz w:val="24"/>
          <w:szCs w:val="24"/>
        </w:rPr>
        <w:t xml:space="preserve"> </w:t>
      </w:r>
      <w:r w:rsidR="008B4FB9" w:rsidRPr="00FC35AF">
        <w:rPr>
          <w:rFonts w:ascii="Times New Roman" w:hAnsi="Times New Roman" w:cs="Times New Roman"/>
          <w:sz w:val="24"/>
          <w:szCs w:val="24"/>
        </w:rPr>
        <w:t>należy oszacować uwzględniając aktualn</w:t>
      </w:r>
      <w:r w:rsidR="00B63607" w:rsidRPr="00FC35AF">
        <w:rPr>
          <w:rFonts w:ascii="Times New Roman" w:hAnsi="Times New Roman" w:cs="Times New Roman"/>
          <w:sz w:val="24"/>
          <w:szCs w:val="24"/>
        </w:rPr>
        <w:t>e</w:t>
      </w:r>
      <w:r w:rsidR="008B4FB9" w:rsidRPr="00FC35AF">
        <w:rPr>
          <w:rFonts w:ascii="Times New Roman" w:hAnsi="Times New Roman" w:cs="Times New Roman"/>
          <w:sz w:val="24"/>
          <w:szCs w:val="24"/>
        </w:rPr>
        <w:t xml:space="preserve"> podstaw</w:t>
      </w:r>
      <w:r w:rsidR="00B63607" w:rsidRPr="00FC35AF">
        <w:rPr>
          <w:rFonts w:ascii="Times New Roman" w:hAnsi="Times New Roman" w:cs="Times New Roman"/>
          <w:sz w:val="24"/>
          <w:szCs w:val="24"/>
        </w:rPr>
        <w:t>y</w:t>
      </w:r>
      <w:r w:rsidR="008B4FB9" w:rsidRPr="00FC35AF">
        <w:rPr>
          <w:rFonts w:ascii="Times New Roman" w:hAnsi="Times New Roman" w:cs="Times New Roman"/>
          <w:sz w:val="24"/>
          <w:szCs w:val="24"/>
        </w:rPr>
        <w:t xml:space="preserve"> opodatkowania </w:t>
      </w:r>
      <w:r w:rsidR="000453B3" w:rsidRPr="00FC35AF">
        <w:rPr>
          <w:rFonts w:ascii="Times New Roman" w:hAnsi="Times New Roman" w:cs="Times New Roman"/>
          <w:sz w:val="24"/>
          <w:szCs w:val="24"/>
        </w:rPr>
        <w:t>wynikając</w:t>
      </w:r>
      <w:r w:rsidR="00B63607" w:rsidRPr="00FC35AF">
        <w:rPr>
          <w:rFonts w:ascii="Times New Roman" w:hAnsi="Times New Roman" w:cs="Times New Roman"/>
          <w:sz w:val="24"/>
          <w:szCs w:val="24"/>
        </w:rPr>
        <w:t>e</w:t>
      </w:r>
      <w:r w:rsidR="000453B3" w:rsidRPr="00FC35AF">
        <w:rPr>
          <w:rFonts w:ascii="Times New Roman" w:hAnsi="Times New Roman" w:cs="Times New Roman"/>
          <w:sz w:val="24"/>
          <w:szCs w:val="24"/>
        </w:rPr>
        <w:t xml:space="preserve"> z </w:t>
      </w:r>
      <w:r w:rsidR="00AB7550" w:rsidRPr="00FC35AF">
        <w:rPr>
          <w:rFonts w:ascii="Times New Roman" w:hAnsi="Times New Roman" w:cs="Times New Roman"/>
          <w:sz w:val="24"/>
          <w:szCs w:val="24"/>
        </w:rPr>
        <w:t xml:space="preserve">obowiązującej w tym zakresie </w:t>
      </w:r>
      <w:r w:rsidR="000453B3" w:rsidRPr="00FC35AF">
        <w:rPr>
          <w:rFonts w:ascii="Times New Roman" w:hAnsi="Times New Roman" w:cs="Times New Roman"/>
          <w:sz w:val="24"/>
          <w:szCs w:val="24"/>
        </w:rPr>
        <w:t>Uchwał</w:t>
      </w:r>
      <w:r w:rsidR="00B63607" w:rsidRPr="00FC35AF">
        <w:rPr>
          <w:rFonts w:ascii="Times New Roman" w:hAnsi="Times New Roman" w:cs="Times New Roman"/>
          <w:sz w:val="24"/>
          <w:szCs w:val="24"/>
        </w:rPr>
        <w:t>y</w:t>
      </w:r>
      <w:r w:rsidR="000453B3" w:rsidRPr="00FC35AF">
        <w:rPr>
          <w:rFonts w:ascii="Times New Roman" w:hAnsi="Times New Roman" w:cs="Times New Roman"/>
          <w:sz w:val="24"/>
          <w:szCs w:val="24"/>
        </w:rPr>
        <w:t xml:space="preserve"> Rady Gminy w sprawie ustalenia stawek p</w:t>
      </w:r>
      <w:r w:rsidR="00B63607" w:rsidRPr="00FC35AF">
        <w:rPr>
          <w:rFonts w:ascii="Times New Roman" w:hAnsi="Times New Roman" w:cs="Times New Roman"/>
          <w:sz w:val="24"/>
          <w:szCs w:val="24"/>
        </w:rPr>
        <w:t>odatkowych</w:t>
      </w:r>
      <w:r w:rsidR="000453B3" w:rsidRPr="00FC35AF">
        <w:rPr>
          <w:rFonts w:ascii="Times New Roman" w:hAnsi="Times New Roman" w:cs="Times New Roman"/>
          <w:sz w:val="24"/>
          <w:szCs w:val="24"/>
        </w:rPr>
        <w:t xml:space="preserve">, </w:t>
      </w:r>
      <w:r w:rsidRPr="00FC35AF">
        <w:rPr>
          <w:rFonts w:ascii="Times New Roman" w:hAnsi="Times New Roman" w:cs="Times New Roman"/>
          <w:sz w:val="24"/>
          <w:szCs w:val="24"/>
        </w:rPr>
        <w:t>a także stopień ściągalności w poprzednich latach;</w:t>
      </w:r>
    </w:p>
    <w:p w14:paraId="63B59A04" w14:textId="42C9233C" w:rsidR="00640CD9" w:rsidRPr="00FC35AF" w:rsidRDefault="00077AB5" w:rsidP="00FC35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p</w:t>
      </w:r>
      <w:r w:rsidR="00640CD9" w:rsidRPr="00FC35AF">
        <w:rPr>
          <w:rFonts w:ascii="Times New Roman" w:hAnsi="Times New Roman" w:cs="Times New Roman"/>
          <w:sz w:val="24"/>
          <w:szCs w:val="24"/>
        </w:rPr>
        <w:t xml:space="preserve">odatek rolny należy szacować </w:t>
      </w:r>
      <w:r w:rsidR="00A114C9" w:rsidRPr="00FC35AF">
        <w:rPr>
          <w:rFonts w:ascii="Times New Roman" w:hAnsi="Times New Roman" w:cs="Times New Roman"/>
          <w:sz w:val="24"/>
          <w:szCs w:val="24"/>
        </w:rPr>
        <w:t>biorąc pod uwagę</w:t>
      </w:r>
      <w:r w:rsidR="00640CD9" w:rsidRPr="00FC35AF">
        <w:rPr>
          <w:rFonts w:ascii="Times New Roman" w:hAnsi="Times New Roman" w:cs="Times New Roman"/>
          <w:sz w:val="24"/>
          <w:szCs w:val="24"/>
        </w:rPr>
        <w:t xml:space="preserve"> aktualną podstawę </w:t>
      </w:r>
      <w:r w:rsidR="00B63607" w:rsidRPr="00FC35AF">
        <w:rPr>
          <w:rFonts w:ascii="Times New Roman" w:hAnsi="Times New Roman" w:cs="Times New Roman"/>
          <w:sz w:val="24"/>
          <w:szCs w:val="24"/>
        </w:rPr>
        <w:t>opodatkowania, korygując</w:t>
      </w:r>
      <w:r w:rsidR="003B0548" w:rsidRPr="00FC35AF">
        <w:rPr>
          <w:rFonts w:ascii="Times New Roman" w:hAnsi="Times New Roman" w:cs="Times New Roman"/>
          <w:sz w:val="24"/>
          <w:szCs w:val="24"/>
        </w:rPr>
        <w:t xml:space="preserve"> wynik</w:t>
      </w:r>
      <w:r w:rsidR="00B63607" w:rsidRPr="00FC35AF">
        <w:rPr>
          <w:rFonts w:ascii="Times New Roman" w:hAnsi="Times New Roman" w:cs="Times New Roman"/>
          <w:sz w:val="24"/>
          <w:szCs w:val="24"/>
        </w:rPr>
        <w:t xml:space="preserve"> </w:t>
      </w:r>
      <w:r w:rsidR="003A0D06" w:rsidRPr="00FC35AF">
        <w:rPr>
          <w:rFonts w:ascii="Times New Roman" w:hAnsi="Times New Roman" w:cs="Times New Roman"/>
          <w:sz w:val="24"/>
          <w:szCs w:val="24"/>
        </w:rPr>
        <w:t xml:space="preserve">do poziomu </w:t>
      </w:r>
      <w:r w:rsidR="003B0548" w:rsidRPr="00FC35AF">
        <w:rPr>
          <w:rFonts w:ascii="Times New Roman" w:hAnsi="Times New Roman" w:cs="Times New Roman"/>
          <w:sz w:val="24"/>
          <w:szCs w:val="24"/>
        </w:rPr>
        <w:t xml:space="preserve"> ściągalności</w:t>
      </w:r>
      <w:r w:rsidR="003A0D06" w:rsidRPr="00FC35AF">
        <w:rPr>
          <w:rFonts w:ascii="Times New Roman" w:hAnsi="Times New Roman" w:cs="Times New Roman"/>
          <w:sz w:val="24"/>
          <w:szCs w:val="24"/>
        </w:rPr>
        <w:t xml:space="preserve"> uzyskiwanego</w:t>
      </w:r>
      <w:r w:rsidR="003B0548" w:rsidRPr="00FC35AF">
        <w:rPr>
          <w:rFonts w:ascii="Times New Roman" w:hAnsi="Times New Roman" w:cs="Times New Roman"/>
          <w:sz w:val="24"/>
          <w:szCs w:val="24"/>
        </w:rPr>
        <w:t xml:space="preserve"> w poprzednich latach</w:t>
      </w:r>
      <w:r w:rsidR="008C27C1" w:rsidRPr="00FC35AF">
        <w:rPr>
          <w:rFonts w:ascii="Times New Roman" w:hAnsi="Times New Roman" w:cs="Times New Roman"/>
          <w:sz w:val="24"/>
          <w:szCs w:val="24"/>
        </w:rPr>
        <w:t>;</w:t>
      </w:r>
    </w:p>
    <w:p w14:paraId="3A503C23" w14:textId="3F046684" w:rsidR="003A0D06" w:rsidRPr="00FC35AF" w:rsidRDefault="003A0D06" w:rsidP="00FC35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podatek leśny należy szacować biorąc pod uwagę aktualną podstawę opodatkowania</w:t>
      </w:r>
      <w:r w:rsidR="00B63607" w:rsidRPr="00FC35AF">
        <w:rPr>
          <w:rFonts w:ascii="Times New Roman" w:hAnsi="Times New Roman" w:cs="Times New Roman"/>
          <w:sz w:val="24"/>
          <w:szCs w:val="24"/>
        </w:rPr>
        <w:t xml:space="preserve">, </w:t>
      </w:r>
      <w:r w:rsidRPr="00FC35AF">
        <w:rPr>
          <w:rFonts w:ascii="Times New Roman" w:hAnsi="Times New Roman" w:cs="Times New Roman"/>
          <w:sz w:val="24"/>
          <w:szCs w:val="24"/>
        </w:rPr>
        <w:t>korygując wynik do poziomu ściągalności uzyskiwanego w poprzednich latach</w:t>
      </w:r>
      <w:r w:rsidR="008C27C1" w:rsidRPr="00FC35AF">
        <w:rPr>
          <w:rFonts w:ascii="Times New Roman" w:hAnsi="Times New Roman" w:cs="Times New Roman"/>
          <w:sz w:val="24"/>
          <w:szCs w:val="24"/>
        </w:rPr>
        <w:t>;</w:t>
      </w:r>
    </w:p>
    <w:p w14:paraId="69C1B0B9" w14:textId="60911ACD" w:rsidR="008C27C1" w:rsidRPr="00FC35AF" w:rsidRDefault="008C27C1" w:rsidP="00FC35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podatek dochodowy od osób fizycznych i prawnych ustala się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 xml:space="preserve">na podstawie danych podanych przez </w:t>
      </w:r>
      <w:r w:rsidR="0052709A" w:rsidRPr="00FC35AF">
        <w:rPr>
          <w:rFonts w:ascii="Times New Roman" w:hAnsi="Times New Roman" w:cs="Times New Roman"/>
          <w:sz w:val="24"/>
          <w:szCs w:val="24"/>
        </w:rPr>
        <w:t>ministra właściwego do spraw finansów publicznych</w:t>
      </w:r>
      <w:r w:rsidRPr="00FC35AF">
        <w:rPr>
          <w:rFonts w:ascii="Times New Roman" w:hAnsi="Times New Roman" w:cs="Times New Roman"/>
          <w:sz w:val="24"/>
          <w:szCs w:val="24"/>
        </w:rPr>
        <w:t>;</w:t>
      </w:r>
    </w:p>
    <w:p w14:paraId="729597D3" w14:textId="2D3C5A0C" w:rsidR="00640CD9" w:rsidRPr="00FC35AF" w:rsidRDefault="008C27C1" w:rsidP="00FC35AF">
      <w:pPr>
        <w:pStyle w:val="Akapitzli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 xml:space="preserve">pozostałe dochody własne </w:t>
      </w:r>
      <w:r w:rsidR="00077AB5" w:rsidRPr="00FC35AF">
        <w:rPr>
          <w:rFonts w:ascii="Times New Roman" w:hAnsi="Times New Roman" w:cs="Times New Roman"/>
          <w:sz w:val="24"/>
          <w:szCs w:val="24"/>
        </w:rPr>
        <w:t xml:space="preserve">ustalone zostaną na podstawie realnych prognoz na rok 2025 z uwzględnieniem podstawowych wskaźników makroekonomicznych </w:t>
      </w:r>
      <w:r w:rsidR="00077AB5" w:rsidRPr="00FC35AF">
        <w:rPr>
          <w:rFonts w:ascii="Times New Roman" w:hAnsi="Times New Roman" w:cs="Times New Roman"/>
          <w:color w:val="auto"/>
          <w:sz w:val="24"/>
          <w:szCs w:val="24"/>
        </w:rPr>
        <w:t xml:space="preserve">przyjętych </w:t>
      </w:r>
      <w:r w:rsidR="00A300DF" w:rsidRPr="00FC35AF">
        <w:rPr>
          <w:rFonts w:ascii="Times New Roman" w:hAnsi="Times New Roman" w:cs="Times New Roman"/>
          <w:color w:val="auto"/>
          <w:sz w:val="24"/>
          <w:szCs w:val="24"/>
        </w:rPr>
        <w:t xml:space="preserve">w projekcie ustawy budżetowej </w:t>
      </w:r>
      <w:r w:rsidR="002D740B" w:rsidRPr="00FC35AF">
        <w:rPr>
          <w:rFonts w:ascii="Times New Roman" w:hAnsi="Times New Roman" w:cs="Times New Roman"/>
          <w:color w:val="auto"/>
          <w:sz w:val="24"/>
          <w:szCs w:val="24"/>
        </w:rPr>
        <w:br/>
      </w:r>
      <w:r w:rsidR="00A300DF" w:rsidRPr="00FC35AF">
        <w:rPr>
          <w:rFonts w:ascii="Times New Roman" w:hAnsi="Times New Roman" w:cs="Times New Roman"/>
          <w:color w:val="auto"/>
          <w:sz w:val="24"/>
          <w:szCs w:val="24"/>
        </w:rPr>
        <w:t>na 2025 rok,</w:t>
      </w:r>
      <w:r w:rsidR="00CF32D6" w:rsidRPr="00FC35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00DF" w:rsidRPr="00FC35AF">
        <w:rPr>
          <w:rFonts w:ascii="Times New Roman" w:hAnsi="Times New Roman" w:cs="Times New Roman"/>
          <w:color w:val="auto"/>
          <w:sz w:val="24"/>
          <w:szCs w:val="24"/>
        </w:rPr>
        <w:t>które w szczególności zakładają wzrost PKB o 3,9%</w:t>
      </w:r>
      <w:r w:rsidR="002D740B" w:rsidRPr="00FC35AF">
        <w:rPr>
          <w:rFonts w:ascii="Times New Roman" w:hAnsi="Times New Roman" w:cs="Times New Roman"/>
          <w:color w:val="auto"/>
          <w:sz w:val="24"/>
          <w:szCs w:val="24"/>
        </w:rPr>
        <w:br/>
      </w:r>
      <w:r w:rsidR="00A300DF" w:rsidRPr="00FC35AF">
        <w:rPr>
          <w:rFonts w:ascii="Times New Roman" w:hAnsi="Times New Roman" w:cs="Times New Roman"/>
          <w:color w:val="auto"/>
          <w:sz w:val="24"/>
          <w:szCs w:val="24"/>
        </w:rPr>
        <w:t>i średnioroczny wzrost cen towarów i usług konsumpcyjnych o 5,0%</w:t>
      </w:r>
      <w:r w:rsidR="002D740B" w:rsidRPr="00FC35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14351C9" w14:textId="4C639389" w:rsidR="00F21DAB" w:rsidRPr="00FC35AF" w:rsidRDefault="00F21DAB" w:rsidP="00FC35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 xml:space="preserve">subwencje ustala się na podstawie wielkości podanych przez </w:t>
      </w:r>
      <w:r w:rsidR="0052709A" w:rsidRPr="00FC35AF">
        <w:rPr>
          <w:rFonts w:ascii="Times New Roman" w:hAnsi="Times New Roman" w:cs="Times New Roman"/>
          <w:sz w:val="24"/>
          <w:szCs w:val="24"/>
        </w:rPr>
        <w:t>ministra właściwego do spraw finansów publicznych</w:t>
      </w:r>
      <w:r w:rsidR="008C27C1" w:rsidRPr="00FC35AF">
        <w:rPr>
          <w:rFonts w:ascii="Times New Roman" w:hAnsi="Times New Roman" w:cs="Times New Roman"/>
          <w:sz w:val="24"/>
          <w:szCs w:val="24"/>
        </w:rPr>
        <w:t>;</w:t>
      </w:r>
    </w:p>
    <w:p w14:paraId="6B221838" w14:textId="55134909" w:rsidR="00F21DAB" w:rsidRPr="00FC35AF" w:rsidRDefault="00F21DAB" w:rsidP="00FC35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dotacje celowe z budżetu państwa na zadania własne i zlecone ustala się</w:t>
      </w:r>
      <w:r w:rsidR="00FC35AF" w:rsidRPr="00FC35AF">
        <w:rPr>
          <w:rFonts w:ascii="Times New Roman" w:hAnsi="Times New Roman" w:cs="Times New Roman"/>
          <w:sz w:val="24"/>
          <w:szCs w:val="24"/>
        </w:rPr>
        <w:t xml:space="preserve"> </w:t>
      </w:r>
      <w:r w:rsidRPr="00FC35AF">
        <w:rPr>
          <w:rFonts w:ascii="Times New Roman" w:hAnsi="Times New Roman" w:cs="Times New Roman"/>
          <w:sz w:val="24"/>
          <w:szCs w:val="24"/>
        </w:rPr>
        <w:t>na podstawie danych określonych przez dysponentów środków</w:t>
      </w:r>
      <w:r w:rsidR="008C27C1" w:rsidRPr="00FC35AF">
        <w:rPr>
          <w:rFonts w:ascii="Times New Roman" w:hAnsi="Times New Roman" w:cs="Times New Roman"/>
          <w:sz w:val="24"/>
          <w:szCs w:val="24"/>
        </w:rPr>
        <w:t>;</w:t>
      </w:r>
    </w:p>
    <w:p w14:paraId="3719950C" w14:textId="0A6D6081" w:rsidR="00F21DAB" w:rsidRPr="00FC35AF" w:rsidRDefault="00F21DAB" w:rsidP="00FC35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środki pochodzące ze źródeł zagranicznych niepodlegające zwrotowi; środki pochodzące z budżetu Unii Europejskiej; inne środki określone w odrębnych przepisach ustala się na poziomie wynikającym z zawartych umów</w:t>
      </w:r>
      <w:r w:rsidR="00FC35AF" w:rsidRPr="00FC35AF">
        <w:rPr>
          <w:rFonts w:ascii="Times New Roman" w:hAnsi="Times New Roman" w:cs="Times New Roman"/>
          <w:sz w:val="24"/>
          <w:szCs w:val="24"/>
        </w:rPr>
        <w:t xml:space="preserve"> </w:t>
      </w:r>
      <w:r w:rsidRPr="00FC35AF">
        <w:rPr>
          <w:rFonts w:ascii="Times New Roman" w:hAnsi="Times New Roman" w:cs="Times New Roman"/>
          <w:sz w:val="24"/>
          <w:szCs w:val="24"/>
        </w:rPr>
        <w:t>lub otrzymanych promes o dofinansowanie realizacji projektów i przyjętych harmonogramów zadań</w:t>
      </w:r>
      <w:r w:rsidR="008C27C1" w:rsidRPr="00FC35AF">
        <w:rPr>
          <w:rFonts w:ascii="Times New Roman" w:hAnsi="Times New Roman" w:cs="Times New Roman"/>
          <w:sz w:val="24"/>
          <w:szCs w:val="24"/>
        </w:rPr>
        <w:t>.</w:t>
      </w:r>
    </w:p>
    <w:p w14:paraId="67C327C0" w14:textId="77777777" w:rsidR="00175E42" w:rsidRPr="00FC35AF" w:rsidRDefault="00175E42" w:rsidP="00FC3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9C5DF" w14:textId="5049E5B1" w:rsidR="00142F2E" w:rsidRPr="00FC35AF" w:rsidRDefault="005E47D4" w:rsidP="00FC35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Założenia dotyczące planowania wydatków</w:t>
      </w:r>
      <w:r w:rsidR="00142F2E" w:rsidRPr="00FC35AF">
        <w:rPr>
          <w:rFonts w:ascii="Times New Roman" w:hAnsi="Times New Roman" w:cs="Times New Roman"/>
          <w:sz w:val="24"/>
          <w:szCs w:val="24"/>
        </w:rPr>
        <w:t>:</w:t>
      </w:r>
    </w:p>
    <w:p w14:paraId="029BC7DF" w14:textId="4399250B" w:rsidR="00175E42" w:rsidRPr="00FC35AF" w:rsidRDefault="00142F2E" w:rsidP="00FC35A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w</w:t>
      </w:r>
      <w:r w:rsidR="00985CDB" w:rsidRPr="00FC35AF">
        <w:rPr>
          <w:rFonts w:ascii="Times New Roman" w:hAnsi="Times New Roman" w:cs="Times New Roman"/>
          <w:sz w:val="24"/>
          <w:szCs w:val="24"/>
        </w:rPr>
        <w:t>ydatki bieżące</w:t>
      </w:r>
    </w:p>
    <w:p w14:paraId="5421BE72" w14:textId="57DC38EB" w:rsidR="00B73F1B" w:rsidRPr="00FC35AF" w:rsidRDefault="00B73F1B" w:rsidP="00FC35A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lastRenderedPageBreak/>
        <w:t>planując wydatki na wynagrodzenia należy uwzględnić skutki waloryzacji wynagrodzeń wynikające ze zmian przepisów prawa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>w zakresie wzrostu minimalnego wynagrodzenia za pracę oraz wysokości minimalnej stawki godzinowej w 2025 roku, jak również zmian innych ustaw, w tym m. in.: ustawy Karta Nauczyciela, ustawy o pracownikach samorządowych;</w:t>
      </w:r>
    </w:p>
    <w:p w14:paraId="08861123" w14:textId="6BA7383C" w:rsidR="00B73F1B" w:rsidRPr="00FC35AF" w:rsidRDefault="00B73F1B" w:rsidP="00FC35A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wydatki na obsługę długu należy zaplanować w wysokości wynikającej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>z planowanych do zaciągnięcia kredytów, pożyczek i emisji obligacji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>w 2025 roku. Przy wyliczaniu odsetek należy zastosować zmianę stóp procentowych wynikających z wytycznych Ministerstwa Finansów dotyczących stosowania jednolitych wskaźników makroekonomicznych będących podstawą oszacowania skutków finansowych projektowanych ustaw</w:t>
      </w:r>
      <w:r w:rsidR="00844A12" w:rsidRPr="00FC35AF">
        <w:rPr>
          <w:rFonts w:ascii="Times New Roman" w:hAnsi="Times New Roman" w:cs="Times New Roman"/>
          <w:sz w:val="24"/>
          <w:szCs w:val="24"/>
        </w:rPr>
        <w:t>;</w:t>
      </w:r>
    </w:p>
    <w:p w14:paraId="656FFDE2" w14:textId="783BB180" w:rsidR="00B73F1B" w:rsidRPr="00FC35AF" w:rsidRDefault="00B73F1B" w:rsidP="00FC35A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wydatki finansowane dotacją z budżetu państwa przyjmuje się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>w wielkościach określonych przez dysponentów środków</w:t>
      </w:r>
      <w:r w:rsidR="00844A12" w:rsidRPr="00FC35AF">
        <w:rPr>
          <w:rFonts w:ascii="Times New Roman" w:hAnsi="Times New Roman" w:cs="Times New Roman"/>
          <w:sz w:val="24"/>
          <w:szCs w:val="24"/>
        </w:rPr>
        <w:t>;</w:t>
      </w:r>
    </w:p>
    <w:p w14:paraId="5BFC443E" w14:textId="7519E753" w:rsidR="00B73F1B" w:rsidRPr="00FC35AF" w:rsidRDefault="00844A12" w:rsidP="00FC35A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wydatki na utrzymanie i obsługę nowych środków trwałych należy zaplanować na podstawie kalkulacji kosztów;</w:t>
      </w:r>
    </w:p>
    <w:p w14:paraId="361DE214" w14:textId="22A4F7FE" w:rsidR="00844A12" w:rsidRPr="00FC35AF" w:rsidRDefault="00D13407" w:rsidP="00FC35A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wydatki na realizację projektów i programów finansowanych z udziałem środków bezzwrotnych należy zaplanować zgodnie z harmonogramem ich realizacji;</w:t>
      </w:r>
    </w:p>
    <w:p w14:paraId="3439C9DF" w14:textId="28E03AA0" w:rsidR="00D13407" w:rsidRPr="00FC35AF" w:rsidRDefault="00D13407" w:rsidP="00FC35A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 xml:space="preserve">pozostałe wydatki należy planować na poziomie nie wyższym niż </w:t>
      </w:r>
      <w:r w:rsidR="00A300DF" w:rsidRPr="00FC35AF">
        <w:rPr>
          <w:rFonts w:ascii="Times New Roman" w:hAnsi="Times New Roman" w:cs="Times New Roman"/>
          <w:sz w:val="24"/>
          <w:szCs w:val="24"/>
        </w:rPr>
        <w:t xml:space="preserve">105% </w:t>
      </w:r>
      <w:r w:rsidRPr="00FC35AF">
        <w:rPr>
          <w:rFonts w:ascii="Times New Roman" w:hAnsi="Times New Roman" w:cs="Times New Roman"/>
          <w:sz w:val="24"/>
          <w:szCs w:val="24"/>
        </w:rPr>
        <w:t>przewidywanego wykonania wydatków bieżących w roku 2024,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>z wyłączeniem wydatków o charakterze jednorazowym, mających miejsce w roku 2024, uwzględniając, że zgodnie z art. 44 ust. 3 Ustawy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>o finansach publicznych wydatki publiczne powinny być dokonywane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>w sposób celowy i oszczędny, z zachowaniem zasad uzyskiwania najlepszych efektów z danych nakładów oraz optymalnego doboru metod i środków służących osiągnięciu założonych celów</w:t>
      </w:r>
      <w:r w:rsidR="000E235A" w:rsidRPr="00FC35AF">
        <w:rPr>
          <w:rFonts w:ascii="Times New Roman" w:hAnsi="Times New Roman" w:cs="Times New Roman"/>
          <w:sz w:val="24"/>
          <w:szCs w:val="24"/>
        </w:rPr>
        <w:t>.</w:t>
      </w:r>
    </w:p>
    <w:p w14:paraId="76807332" w14:textId="4B8D1698" w:rsidR="009B5144" w:rsidRPr="00FC35AF" w:rsidRDefault="00D13407" w:rsidP="00FC35AF">
      <w:pPr>
        <w:pStyle w:val="Akapitzlist"/>
        <w:numPr>
          <w:ilvl w:val="0"/>
          <w:numId w:val="17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wydatki majątkowe</w:t>
      </w:r>
    </w:p>
    <w:p w14:paraId="3DA91562" w14:textId="57261C45" w:rsidR="009B5144" w:rsidRPr="00FC35AF" w:rsidRDefault="009B5144" w:rsidP="00FC35AF">
      <w:pPr>
        <w:ind w:left="1491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określa się w wysokości niezbędnej do poniesienia w 2025 roku,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>z uwzględnieniem priorytetów:</w:t>
      </w:r>
    </w:p>
    <w:p w14:paraId="0754171C" w14:textId="57F95A9F" w:rsidR="009B5144" w:rsidRPr="00FC35AF" w:rsidRDefault="00D81772" w:rsidP="00FC35A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 xml:space="preserve">zadania </w:t>
      </w:r>
      <w:r w:rsidR="009B5144" w:rsidRPr="00FC35AF">
        <w:rPr>
          <w:rFonts w:ascii="Times New Roman" w:hAnsi="Times New Roman" w:cs="Times New Roman"/>
          <w:sz w:val="24"/>
          <w:szCs w:val="24"/>
        </w:rPr>
        <w:t>kontynuowan</w:t>
      </w:r>
      <w:r w:rsidRPr="00FC35AF">
        <w:rPr>
          <w:rFonts w:ascii="Times New Roman" w:hAnsi="Times New Roman" w:cs="Times New Roman"/>
          <w:sz w:val="24"/>
          <w:szCs w:val="24"/>
        </w:rPr>
        <w:t>e;</w:t>
      </w:r>
    </w:p>
    <w:p w14:paraId="45C5287F" w14:textId="59146DC7" w:rsidR="009B5144" w:rsidRPr="00FC35AF" w:rsidRDefault="00D81772" w:rsidP="00FC35A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 xml:space="preserve">zadania </w:t>
      </w:r>
      <w:r w:rsidR="009B5144" w:rsidRPr="00FC35AF">
        <w:rPr>
          <w:rFonts w:ascii="Times New Roman" w:hAnsi="Times New Roman" w:cs="Times New Roman"/>
          <w:sz w:val="24"/>
          <w:szCs w:val="24"/>
        </w:rPr>
        <w:t>nierozpoczęt</w:t>
      </w:r>
      <w:r w:rsidRPr="00FC35AF">
        <w:rPr>
          <w:rFonts w:ascii="Times New Roman" w:hAnsi="Times New Roman" w:cs="Times New Roman"/>
          <w:sz w:val="24"/>
          <w:szCs w:val="24"/>
        </w:rPr>
        <w:t>e</w:t>
      </w:r>
      <w:r w:rsidR="009B5144" w:rsidRPr="00FC35AF">
        <w:rPr>
          <w:rFonts w:ascii="Times New Roman" w:hAnsi="Times New Roman" w:cs="Times New Roman"/>
          <w:sz w:val="24"/>
          <w:szCs w:val="24"/>
        </w:rPr>
        <w:t>, dla których otrzymano</w:t>
      </w:r>
      <w:r w:rsidRPr="00FC35AF">
        <w:rPr>
          <w:rFonts w:ascii="Times New Roman" w:hAnsi="Times New Roman" w:cs="Times New Roman"/>
          <w:sz w:val="24"/>
          <w:szCs w:val="24"/>
        </w:rPr>
        <w:t xml:space="preserve"> informację</w:t>
      </w:r>
      <w:r w:rsidR="000E235A" w:rsidRPr="00FC35AF">
        <w:rPr>
          <w:rFonts w:ascii="Times New Roman" w:hAnsi="Times New Roman" w:cs="Times New Roman"/>
          <w:sz w:val="24"/>
          <w:szCs w:val="24"/>
        </w:rPr>
        <w:br/>
      </w:r>
      <w:r w:rsidRPr="00FC35AF">
        <w:rPr>
          <w:rFonts w:ascii="Times New Roman" w:hAnsi="Times New Roman" w:cs="Times New Roman"/>
          <w:sz w:val="24"/>
          <w:szCs w:val="24"/>
        </w:rPr>
        <w:t>o</w:t>
      </w:r>
      <w:r w:rsidR="009B5144" w:rsidRPr="00FC35AF">
        <w:rPr>
          <w:rFonts w:ascii="Times New Roman" w:hAnsi="Times New Roman" w:cs="Times New Roman"/>
          <w:sz w:val="24"/>
          <w:szCs w:val="24"/>
        </w:rPr>
        <w:t xml:space="preserve"> dofinansowani</w:t>
      </w:r>
      <w:r w:rsidRPr="00FC35AF">
        <w:rPr>
          <w:rFonts w:ascii="Times New Roman" w:hAnsi="Times New Roman" w:cs="Times New Roman"/>
          <w:sz w:val="24"/>
          <w:szCs w:val="24"/>
        </w:rPr>
        <w:t>u</w:t>
      </w:r>
      <w:r w:rsidR="009B5144" w:rsidRPr="00FC35AF">
        <w:rPr>
          <w:rFonts w:ascii="Times New Roman" w:hAnsi="Times New Roman" w:cs="Times New Roman"/>
          <w:sz w:val="24"/>
          <w:szCs w:val="24"/>
        </w:rPr>
        <w:t xml:space="preserve"> ze środków zewnętrznych</w:t>
      </w:r>
      <w:r w:rsidRPr="00FC35AF">
        <w:rPr>
          <w:rFonts w:ascii="Times New Roman" w:hAnsi="Times New Roman" w:cs="Times New Roman"/>
          <w:sz w:val="24"/>
          <w:szCs w:val="24"/>
        </w:rPr>
        <w:t>;</w:t>
      </w:r>
    </w:p>
    <w:p w14:paraId="4FBF38BF" w14:textId="3A138078" w:rsidR="00D81772" w:rsidRPr="00FC35AF" w:rsidRDefault="00D81772" w:rsidP="00FC35A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zadania nierozpoczęte, dla których planuje się pozyskanie dofinansowania ze środków zewnętrznych;</w:t>
      </w:r>
    </w:p>
    <w:p w14:paraId="75941A1A" w14:textId="19345DE7" w:rsidR="00D81772" w:rsidRPr="00FC35AF" w:rsidRDefault="00D81772" w:rsidP="00FC35A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inne zadania wynikające z lokalnych programów Gminy;</w:t>
      </w:r>
    </w:p>
    <w:p w14:paraId="3F1CC1E6" w14:textId="09032663" w:rsidR="009B5144" w:rsidRPr="00FC35AF" w:rsidRDefault="00D81772" w:rsidP="00FC35AF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pozostałe zadania nie ujęte powyżej.</w:t>
      </w:r>
    </w:p>
    <w:p w14:paraId="036AD0A8" w14:textId="795F8A62" w:rsidR="009B5144" w:rsidRPr="00FC35AF" w:rsidRDefault="009B5144" w:rsidP="00FC35A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B01FC62" w14:textId="7FF193A7" w:rsidR="002E4AAF" w:rsidRPr="00FC35AF" w:rsidRDefault="002E4AAF" w:rsidP="00FC35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Założenia dotyczące planowania przychodów</w:t>
      </w:r>
    </w:p>
    <w:p w14:paraId="014F8E01" w14:textId="48A089AE" w:rsidR="00175E42" w:rsidRPr="00FC35AF" w:rsidRDefault="002E4AAF" w:rsidP="00FC35A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 xml:space="preserve">W 2025 roku </w:t>
      </w:r>
      <w:r w:rsidR="00E72FB4" w:rsidRPr="00FC35AF">
        <w:rPr>
          <w:rFonts w:ascii="Times New Roman" w:hAnsi="Times New Roman" w:cs="Times New Roman"/>
          <w:sz w:val="24"/>
          <w:szCs w:val="24"/>
        </w:rPr>
        <w:t>należy ująć</w:t>
      </w:r>
      <w:r w:rsidRPr="00FC35AF">
        <w:rPr>
          <w:rFonts w:ascii="Times New Roman" w:hAnsi="Times New Roman" w:cs="Times New Roman"/>
          <w:sz w:val="24"/>
          <w:szCs w:val="24"/>
        </w:rPr>
        <w:t xml:space="preserve"> przychody</w:t>
      </w:r>
      <w:r w:rsidR="00E72FB4" w:rsidRPr="00FC35AF">
        <w:rPr>
          <w:rFonts w:ascii="Times New Roman" w:hAnsi="Times New Roman" w:cs="Times New Roman"/>
          <w:sz w:val="24"/>
          <w:szCs w:val="24"/>
        </w:rPr>
        <w:t xml:space="preserve"> </w:t>
      </w:r>
      <w:r w:rsidR="00E551EB" w:rsidRPr="00FC35AF">
        <w:rPr>
          <w:rFonts w:ascii="Times New Roman" w:hAnsi="Times New Roman" w:cs="Times New Roman"/>
          <w:sz w:val="24"/>
          <w:szCs w:val="24"/>
        </w:rPr>
        <w:t>z uwzględnieniem możliwości finansowych Gminy pozwalających spełnić relację określoną w art. 243 ustawy o finansach publicznych.</w:t>
      </w:r>
    </w:p>
    <w:p w14:paraId="291D622C" w14:textId="77777777" w:rsidR="00E72FB4" w:rsidRPr="00FC35AF" w:rsidRDefault="00E72FB4" w:rsidP="00FC3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C0D8B" w14:textId="71BA5C09" w:rsidR="00E72FB4" w:rsidRPr="00FC35AF" w:rsidRDefault="00E72FB4" w:rsidP="00FC35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>Założenia dotyczące planowania rozchodów</w:t>
      </w:r>
    </w:p>
    <w:p w14:paraId="7F4B83AE" w14:textId="0A376F1D" w:rsidR="00E551EB" w:rsidRPr="00E551EB" w:rsidRDefault="00E72FB4" w:rsidP="00FC35A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35AF">
        <w:rPr>
          <w:rFonts w:ascii="Times New Roman" w:hAnsi="Times New Roman" w:cs="Times New Roman"/>
          <w:sz w:val="24"/>
          <w:szCs w:val="24"/>
        </w:rPr>
        <w:t xml:space="preserve">W 2025 roku należy ująć rozchody zgodnie z </w:t>
      </w:r>
      <w:r w:rsidR="00E551EB" w:rsidRPr="00FC35AF">
        <w:rPr>
          <w:rFonts w:ascii="Times New Roman" w:hAnsi="Times New Roman" w:cs="Times New Roman"/>
          <w:sz w:val="24"/>
          <w:szCs w:val="24"/>
        </w:rPr>
        <w:t>harmonogram</w:t>
      </w:r>
      <w:r w:rsidR="0058413F" w:rsidRPr="00FC35AF">
        <w:rPr>
          <w:rFonts w:ascii="Times New Roman" w:hAnsi="Times New Roman" w:cs="Times New Roman"/>
          <w:sz w:val="24"/>
          <w:szCs w:val="24"/>
        </w:rPr>
        <w:t>ami spłat i wykupów zaciągniętych zobowiązań powiększonych o ewentualne planowane do udzielenia</w:t>
      </w:r>
      <w:r w:rsidR="0058413F" w:rsidRPr="0052732D">
        <w:rPr>
          <w:rFonts w:ascii="Times New Roman" w:hAnsi="Times New Roman" w:cs="Times New Roman"/>
          <w:sz w:val="24"/>
          <w:szCs w:val="24"/>
        </w:rPr>
        <w:t xml:space="preserve"> pożyc</w:t>
      </w:r>
      <w:r w:rsidR="0058413F">
        <w:rPr>
          <w:rFonts w:ascii="Times New Roman" w:hAnsi="Times New Roman" w:cs="Times New Roman"/>
          <w:sz w:val="24"/>
          <w:szCs w:val="24"/>
        </w:rPr>
        <w:t>zki.</w:t>
      </w:r>
    </w:p>
    <w:sectPr w:rsidR="00E551EB" w:rsidRPr="00E551EB" w:rsidSect="00A300DF">
      <w:footerReference w:type="default" r:id="rId8"/>
      <w:footerReference w:type="firs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2B105" w14:textId="77777777" w:rsidR="00BD1F90" w:rsidRDefault="00BD1F90" w:rsidP="00902CDE">
      <w:pPr>
        <w:spacing w:after="0" w:line="240" w:lineRule="auto"/>
      </w:pPr>
      <w:r>
        <w:separator/>
      </w:r>
    </w:p>
  </w:endnote>
  <w:endnote w:type="continuationSeparator" w:id="0">
    <w:p w14:paraId="61E7BD45" w14:textId="77777777" w:rsidR="00BD1F90" w:rsidRDefault="00BD1F90" w:rsidP="0090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811F1" w14:textId="77777777" w:rsidR="00387A1D" w:rsidRPr="00E352DA" w:rsidRDefault="00387A1D" w:rsidP="00E352DA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F96C085" w14:textId="77777777" w:rsidR="00387A1D" w:rsidRPr="00AE2EC3" w:rsidRDefault="00387A1D" w:rsidP="00AE2EC3">
        <w:pPr>
          <w:pStyle w:val="Stopka"/>
          <w:ind w:left="-567"/>
          <w:rPr>
            <w:vanish/>
          </w:rPr>
        </w:pPr>
        <w:r w:rsidRPr="00DE4318">
          <w:rPr>
            <w:sz w:val="16"/>
            <w:szCs w:val="16"/>
          </w:rPr>
          <w:t xml:space="preserve">Strona | </w:t>
        </w:r>
        <w:r w:rsidRPr="00DE4318">
          <w:rPr>
            <w:sz w:val="16"/>
            <w:szCs w:val="16"/>
          </w:rPr>
          <w:fldChar w:fldCharType="begin"/>
        </w:r>
        <w:r w:rsidRPr="00DE4318">
          <w:rPr>
            <w:sz w:val="16"/>
            <w:szCs w:val="16"/>
          </w:rPr>
          <w:instrText>PAGE   \* MERGEFORMAT</w:instrText>
        </w:r>
        <w:r w:rsidRPr="00DE4318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Pr="00DE4318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4ED3D" w14:textId="77777777" w:rsidR="00BD1F90" w:rsidRDefault="00BD1F90" w:rsidP="00902CDE">
      <w:pPr>
        <w:spacing w:after="0" w:line="240" w:lineRule="auto"/>
      </w:pPr>
      <w:r>
        <w:separator/>
      </w:r>
    </w:p>
  </w:footnote>
  <w:footnote w:type="continuationSeparator" w:id="0">
    <w:p w14:paraId="68349556" w14:textId="77777777" w:rsidR="00BD1F90" w:rsidRDefault="00BD1F90" w:rsidP="0090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15AF"/>
    <w:multiLevelType w:val="hybridMultilevel"/>
    <w:tmpl w:val="07B89AC4"/>
    <w:lvl w:ilvl="0" w:tplc="3D869DB4">
      <w:start w:val="1"/>
      <w:numFmt w:val="bullet"/>
      <w:lvlText w:val="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177A502B"/>
    <w:multiLevelType w:val="hybridMultilevel"/>
    <w:tmpl w:val="911ECE8C"/>
    <w:lvl w:ilvl="0" w:tplc="55F29CC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F36ECB"/>
    <w:multiLevelType w:val="hybridMultilevel"/>
    <w:tmpl w:val="A5FC6640"/>
    <w:lvl w:ilvl="0" w:tplc="215641D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3A0528"/>
    <w:multiLevelType w:val="hybridMultilevel"/>
    <w:tmpl w:val="1E2621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B2692"/>
    <w:multiLevelType w:val="hybridMultilevel"/>
    <w:tmpl w:val="DF2AE354"/>
    <w:lvl w:ilvl="0" w:tplc="0E74EB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0F185F"/>
    <w:multiLevelType w:val="hybridMultilevel"/>
    <w:tmpl w:val="D2A80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0153A"/>
    <w:multiLevelType w:val="hybridMultilevel"/>
    <w:tmpl w:val="997A5430"/>
    <w:lvl w:ilvl="0" w:tplc="14A0A8F4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36961FD"/>
    <w:multiLevelType w:val="hybridMultilevel"/>
    <w:tmpl w:val="8F5C5F04"/>
    <w:lvl w:ilvl="0" w:tplc="7B026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E56E5"/>
    <w:multiLevelType w:val="hybridMultilevel"/>
    <w:tmpl w:val="E266296A"/>
    <w:lvl w:ilvl="0" w:tplc="3D869DB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273C2"/>
    <w:multiLevelType w:val="hybridMultilevel"/>
    <w:tmpl w:val="3BF69CDA"/>
    <w:lvl w:ilvl="0" w:tplc="0150B20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01AD1"/>
    <w:multiLevelType w:val="hybridMultilevel"/>
    <w:tmpl w:val="3C60BD7E"/>
    <w:lvl w:ilvl="0" w:tplc="6CD6D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1415537"/>
    <w:multiLevelType w:val="hybridMultilevel"/>
    <w:tmpl w:val="BBCAB886"/>
    <w:lvl w:ilvl="0" w:tplc="6C461EE4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63BA1926"/>
    <w:multiLevelType w:val="hybridMultilevel"/>
    <w:tmpl w:val="5CE08C40"/>
    <w:lvl w:ilvl="0" w:tplc="E9027068">
      <w:start w:val="1"/>
      <w:numFmt w:val="bullet"/>
      <w:lvlText w:val="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3" w15:restartNumberingAfterBreak="0">
    <w:nsid w:val="6A9C3D2B"/>
    <w:multiLevelType w:val="hybridMultilevel"/>
    <w:tmpl w:val="A15E4298"/>
    <w:lvl w:ilvl="0" w:tplc="36BACC5C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4" w15:restartNumberingAfterBreak="0">
    <w:nsid w:val="6C735332"/>
    <w:multiLevelType w:val="hybridMultilevel"/>
    <w:tmpl w:val="FCFC10E6"/>
    <w:lvl w:ilvl="0" w:tplc="98267656">
      <w:start w:val="1"/>
      <w:numFmt w:val="bullet"/>
      <w:pStyle w:val="Akapitzlis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85359C"/>
    <w:multiLevelType w:val="hybridMultilevel"/>
    <w:tmpl w:val="12B4C2F8"/>
    <w:lvl w:ilvl="0" w:tplc="42F06A5C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74978534">
    <w:abstractNumId w:val="5"/>
  </w:num>
  <w:num w:numId="2" w16cid:durableId="2125341479">
    <w:abstractNumId w:val="8"/>
  </w:num>
  <w:num w:numId="3" w16cid:durableId="970012095">
    <w:abstractNumId w:val="1"/>
  </w:num>
  <w:num w:numId="4" w16cid:durableId="482041389">
    <w:abstractNumId w:val="4"/>
  </w:num>
  <w:num w:numId="5" w16cid:durableId="1545217185">
    <w:abstractNumId w:val="1"/>
    <w:lvlOverride w:ilvl="0">
      <w:startOverride w:val="1"/>
    </w:lvlOverride>
  </w:num>
  <w:num w:numId="6" w16cid:durableId="1769158473">
    <w:abstractNumId w:val="3"/>
  </w:num>
  <w:num w:numId="7" w16cid:durableId="2113502208">
    <w:abstractNumId w:val="14"/>
  </w:num>
  <w:num w:numId="8" w16cid:durableId="1893999042">
    <w:abstractNumId w:val="6"/>
  </w:num>
  <w:num w:numId="9" w16cid:durableId="904070793">
    <w:abstractNumId w:val="15"/>
  </w:num>
  <w:num w:numId="10" w16cid:durableId="169950087">
    <w:abstractNumId w:val="15"/>
    <w:lvlOverride w:ilvl="0">
      <w:startOverride w:val="1"/>
    </w:lvlOverride>
  </w:num>
  <w:num w:numId="11" w16cid:durableId="740063367">
    <w:abstractNumId w:val="2"/>
  </w:num>
  <w:num w:numId="12" w16cid:durableId="1627422711">
    <w:abstractNumId w:val="9"/>
  </w:num>
  <w:num w:numId="13" w16cid:durableId="1158613585">
    <w:abstractNumId w:val="9"/>
    <w:lvlOverride w:ilvl="0">
      <w:startOverride w:val="1"/>
    </w:lvlOverride>
  </w:num>
  <w:num w:numId="14" w16cid:durableId="577131612">
    <w:abstractNumId w:val="0"/>
  </w:num>
  <w:num w:numId="15" w16cid:durableId="1840923434">
    <w:abstractNumId w:val="11"/>
  </w:num>
  <w:num w:numId="16" w16cid:durableId="1636061153">
    <w:abstractNumId w:val="11"/>
    <w:lvlOverride w:ilvl="0">
      <w:startOverride w:val="1"/>
    </w:lvlOverride>
  </w:num>
  <w:num w:numId="17" w16cid:durableId="147064266">
    <w:abstractNumId w:val="10"/>
  </w:num>
  <w:num w:numId="18" w16cid:durableId="1849059654">
    <w:abstractNumId w:val="12"/>
  </w:num>
  <w:num w:numId="19" w16cid:durableId="1995180082">
    <w:abstractNumId w:val="13"/>
  </w:num>
  <w:num w:numId="20" w16cid:durableId="1901165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14"/>
    <w:rsid w:val="00017670"/>
    <w:rsid w:val="00020490"/>
    <w:rsid w:val="000453B3"/>
    <w:rsid w:val="00077AB5"/>
    <w:rsid w:val="00093659"/>
    <w:rsid w:val="000D180D"/>
    <w:rsid w:val="000E235A"/>
    <w:rsid w:val="000F2830"/>
    <w:rsid w:val="0011021E"/>
    <w:rsid w:val="00141D7E"/>
    <w:rsid w:val="00142F2E"/>
    <w:rsid w:val="00154250"/>
    <w:rsid w:val="00175E42"/>
    <w:rsid w:val="00183947"/>
    <w:rsid w:val="001A0E22"/>
    <w:rsid w:val="001C71B6"/>
    <w:rsid w:val="001F790B"/>
    <w:rsid w:val="00205CB7"/>
    <w:rsid w:val="00214CAD"/>
    <w:rsid w:val="00245523"/>
    <w:rsid w:val="0027508F"/>
    <w:rsid w:val="002758AB"/>
    <w:rsid w:val="002D706D"/>
    <w:rsid w:val="002D740B"/>
    <w:rsid w:val="002E4AAF"/>
    <w:rsid w:val="002E7A6E"/>
    <w:rsid w:val="00336FF2"/>
    <w:rsid w:val="00346192"/>
    <w:rsid w:val="00351DA5"/>
    <w:rsid w:val="0037227E"/>
    <w:rsid w:val="00387A1D"/>
    <w:rsid w:val="003A0D06"/>
    <w:rsid w:val="003B0548"/>
    <w:rsid w:val="003B5D4E"/>
    <w:rsid w:val="003C6BF8"/>
    <w:rsid w:val="003E5BC0"/>
    <w:rsid w:val="003E63A5"/>
    <w:rsid w:val="003F6B45"/>
    <w:rsid w:val="0047446B"/>
    <w:rsid w:val="004B4392"/>
    <w:rsid w:val="004B47F0"/>
    <w:rsid w:val="004B730E"/>
    <w:rsid w:val="004B7DCD"/>
    <w:rsid w:val="004F2E02"/>
    <w:rsid w:val="0052709A"/>
    <w:rsid w:val="0052732D"/>
    <w:rsid w:val="0053102F"/>
    <w:rsid w:val="00545723"/>
    <w:rsid w:val="00547170"/>
    <w:rsid w:val="00552CC5"/>
    <w:rsid w:val="0058413F"/>
    <w:rsid w:val="005B7B9F"/>
    <w:rsid w:val="005C157B"/>
    <w:rsid w:val="005E47D4"/>
    <w:rsid w:val="006174FC"/>
    <w:rsid w:val="00640CD9"/>
    <w:rsid w:val="00677327"/>
    <w:rsid w:val="00692860"/>
    <w:rsid w:val="006C665E"/>
    <w:rsid w:val="006F13A7"/>
    <w:rsid w:val="006F3FB5"/>
    <w:rsid w:val="006F4F29"/>
    <w:rsid w:val="00710FB1"/>
    <w:rsid w:val="00756A13"/>
    <w:rsid w:val="00756AC4"/>
    <w:rsid w:val="00761C55"/>
    <w:rsid w:val="0076750F"/>
    <w:rsid w:val="00770934"/>
    <w:rsid w:val="007818EA"/>
    <w:rsid w:val="00782091"/>
    <w:rsid w:val="007C3636"/>
    <w:rsid w:val="007C6F75"/>
    <w:rsid w:val="007D5169"/>
    <w:rsid w:val="00826297"/>
    <w:rsid w:val="00844A12"/>
    <w:rsid w:val="00860F84"/>
    <w:rsid w:val="00883FBD"/>
    <w:rsid w:val="008872F9"/>
    <w:rsid w:val="00890E05"/>
    <w:rsid w:val="008B4FB9"/>
    <w:rsid w:val="008C27C1"/>
    <w:rsid w:val="00902CDE"/>
    <w:rsid w:val="00903900"/>
    <w:rsid w:val="00917CBE"/>
    <w:rsid w:val="00946750"/>
    <w:rsid w:val="0096572A"/>
    <w:rsid w:val="00985CDB"/>
    <w:rsid w:val="00990093"/>
    <w:rsid w:val="00994C0D"/>
    <w:rsid w:val="009A1414"/>
    <w:rsid w:val="009A401E"/>
    <w:rsid w:val="009B41CA"/>
    <w:rsid w:val="009B5144"/>
    <w:rsid w:val="009C3AAB"/>
    <w:rsid w:val="00A114C9"/>
    <w:rsid w:val="00A300DF"/>
    <w:rsid w:val="00A6384B"/>
    <w:rsid w:val="00A73A03"/>
    <w:rsid w:val="00AA563B"/>
    <w:rsid w:val="00AB7550"/>
    <w:rsid w:val="00AD1D2F"/>
    <w:rsid w:val="00AE2EC3"/>
    <w:rsid w:val="00B01C4B"/>
    <w:rsid w:val="00B26E16"/>
    <w:rsid w:val="00B50439"/>
    <w:rsid w:val="00B63607"/>
    <w:rsid w:val="00B73F1B"/>
    <w:rsid w:val="00B82C78"/>
    <w:rsid w:val="00B85BD2"/>
    <w:rsid w:val="00B97152"/>
    <w:rsid w:val="00BB1EAA"/>
    <w:rsid w:val="00BD1F90"/>
    <w:rsid w:val="00BE03F5"/>
    <w:rsid w:val="00BF00CC"/>
    <w:rsid w:val="00BF28E9"/>
    <w:rsid w:val="00C13A00"/>
    <w:rsid w:val="00C15889"/>
    <w:rsid w:val="00C2175E"/>
    <w:rsid w:val="00C317CF"/>
    <w:rsid w:val="00C33BBB"/>
    <w:rsid w:val="00C36ABC"/>
    <w:rsid w:val="00C7086D"/>
    <w:rsid w:val="00CD7655"/>
    <w:rsid w:val="00CF32D6"/>
    <w:rsid w:val="00D13407"/>
    <w:rsid w:val="00D22EEE"/>
    <w:rsid w:val="00D24277"/>
    <w:rsid w:val="00D70C43"/>
    <w:rsid w:val="00D81772"/>
    <w:rsid w:val="00D9662A"/>
    <w:rsid w:val="00DA6327"/>
    <w:rsid w:val="00DB6CA0"/>
    <w:rsid w:val="00DE2AA0"/>
    <w:rsid w:val="00DF6BE6"/>
    <w:rsid w:val="00E352DA"/>
    <w:rsid w:val="00E45692"/>
    <w:rsid w:val="00E551EB"/>
    <w:rsid w:val="00E72FB4"/>
    <w:rsid w:val="00E77ED4"/>
    <w:rsid w:val="00ED3116"/>
    <w:rsid w:val="00ED4973"/>
    <w:rsid w:val="00EF45F8"/>
    <w:rsid w:val="00F042E3"/>
    <w:rsid w:val="00F21000"/>
    <w:rsid w:val="00F21DAB"/>
    <w:rsid w:val="00F31351"/>
    <w:rsid w:val="00F577FC"/>
    <w:rsid w:val="00F66E3F"/>
    <w:rsid w:val="00F85D99"/>
    <w:rsid w:val="00F91B94"/>
    <w:rsid w:val="00F92F5D"/>
    <w:rsid w:val="00FC35AF"/>
    <w:rsid w:val="00FD714E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D72EF"/>
  <w15:chartTrackingRefBased/>
  <w15:docId w15:val="{B41BDA5A-038C-4EF0-B7DC-EEF2DE48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72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91B94"/>
    <w:pPr>
      <w:keepNext/>
      <w:keepLines/>
      <w:spacing w:before="840" w:after="840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91B94"/>
    <w:pPr>
      <w:keepNext/>
      <w:keepLines/>
      <w:spacing w:before="480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91B94"/>
    <w:pPr>
      <w:keepNext/>
      <w:keepLines/>
      <w:spacing w:before="480" w:after="40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B94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91B94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F91B94"/>
    <w:pPr>
      <w:pBdr>
        <w:bottom w:val="single" w:sz="8" w:space="4" w:color="3C3F49" w:themeColor="text2"/>
      </w:pBdr>
      <w:spacing w:before="840" w:after="300" w:line="240" w:lineRule="auto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B94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761C55"/>
    <w:pPr>
      <w:numPr>
        <w:ilvl w:val="1"/>
      </w:numPr>
    </w:pPr>
    <w:rPr>
      <w:rFonts w:eastAsiaTheme="minorEastAsia"/>
      <w:color w:val="8F9296" w:themeColor="background2" w:themeShade="BF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C55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1B94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B63607"/>
    <w:pPr>
      <w:numPr>
        <w:numId w:val="7"/>
      </w:numPr>
      <w:contextualSpacing/>
    </w:pPr>
  </w:style>
  <w:style w:type="character" w:styleId="Wyrnieniedelikatne">
    <w:name w:val="Subtle Emphasis"/>
    <w:aliases w:val="Źródło"/>
    <w:basedOn w:val="Domylnaczcionkaakapitu"/>
    <w:uiPriority w:val="19"/>
    <w:rsid w:val="00336FF2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22"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rsid w:val="00860F84"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/>
      <w:ind w:left="864" w:right="864"/>
      <w:jc w:val="center"/>
    </w:pPr>
    <w:rPr>
      <w:i/>
      <w:iCs/>
      <w:color w:val="006139" w:themeColor="accent6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sid w:val="00860F84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rsid w:val="00860F84"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/>
      <w:ind w:left="862" w:right="862"/>
      <w:contextualSpacing/>
      <w:jc w:val="center"/>
    </w:pPr>
    <w:rPr>
      <w:i/>
      <w:iCs/>
      <w:color w:val="D90912" w:themeColor="accent4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sid w:val="00860F84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E7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2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CDE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rsid w:val="00902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CDE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rsid w:val="00902CDE"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02CDE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902CDE"/>
    <w:pPr>
      <w:spacing w:before="240" w:after="0"/>
    </w:pPr>
    <w:rPr>
      <w:rFonts w:cstheme="minorHAnsi"/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902CDE"/>
    <w:pPr>
      <w:spacing w:after="0"/>
      <w:ind w:left="200"/>
    </w:pPr>
    <w:rPr>
      <w:rFonts w:cstheme="minorHAnsi"/>
    </w:rPr>
  </w:style>
  <w:style w:type="character" w:styleId="Hipercze">
    <w:name w:val="Hyperlink"/>
    <w:basedOn w:val="Domylnaczcionkaakapitu"/>
    <w:uiPriority w:val="99"/>
    <w:unhideWhenUsed/>
    <w:rsid w:val="00902CDE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902CDE"/>
    <w:pPr>
      <w:spacing w:after="0"/>
      <w:ind w:left="400"/>
    </w:pPr>
    <w:rPr>
      <w:rFonts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902CDE"/>
    <w:pPr>
      <w:spacing w:after="0"/>
      <w:ind w:left="600"/>
    </w:pPr>
    <w:rPr>
      <w:rFonts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902CDE"/>
    <w:pPr>
      <w:spacing w:after="0"/>
      <w:ind w:left="800"/>
    </w:pPr>
    <w:rPr>
      <w:rFonts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902CDE"/>
    <w:pPr>
      <w:spacing w:after="0"/>
      <w:ind w:left="1000"/>
    </w:pPr>
    <w:rPr>
      <w:rFonts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902CDE"/>
    <w:pPr>
      <w:spacing w:after="0"/>
      <w:ind w:left="1200"/>
    </w:pPr>
    <w:rPr>
      <w:rFonts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902CDE"/>
    <w:pPr>
      <w:spacing w:after="0"/>
      <w:ind w:left="1400"/>
    </w:pPr>
    <w:rPr>
      <w:rFonts w:cstheme="minorHAnsi"/>
    </w:rPr>
  </w:style>
  <w:style w:type="table" w:customStyle="1" w:styleId="TabelaCurulis">
    <w:name w:val="Tabela Curulis"/>
    <w:basedOn w:val="Standardowy"/>
    <w:uiPriority w:val="99"/>
    <w:rsid w:val="00545723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rsid w:val="00761C55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paragraph" w:styleId="NormalnyWeb">
    <w:name w:val="Normal (Web)"/>
    <w:basedOn w:val="Normalny"/>
    <w:uiPriority w:val="99"/>
    <w:semiHidden/>
    <w:unhideWhenUsed/>
    <w:rsid w:val="00F6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5CD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32D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32D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4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53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5198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278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307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11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74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9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73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75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351A-50C5-4698-ACFD-E050C9B0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Sewohl</dc:creator>
  <cp:keywords>Curulis Sp. z o.o.</cp:keywords>
  <dc:description/>
  <cp:lastModifiedBy>Gmina Bulkowo</cp:lastModifiedBy>
  <cp:revision>2</cp:revision>
  <cp:lastPrinted>2024-09-13T06:37:00Z</cp:lastPrinted>
  <dcterms:created xsi:type="dcterms:W3CDTF">2024-09-17T09:17:00Z</dcterms:created>
  <dcterms:modified xsi:type="dcterms:W3CDTF">2024-09-17T09:17:00Z</dcterms:modified>
</cp:coreProperties>
</file>